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utoSpaceDE/>
        <w:autoSpaceDN/>
        <w:spacing w:before="0" w:after="0" w:line="240" w:lineRule="auto"/>
        <w:ind w:right="0" w:firstLine="0"/>
        <w:jc w:val="both"/>
        <w:rPr>
          <w:rFonts w:hint="default" w:ascii="Calibri" w:hAnsi="宋体" w:eastAsia="宋体"/>
          <w:color w:val="auto"/>
          <w:position w:val="0"/>
          <w:sz w:val="28"/>
          <w:szCs w:val="28"/>
        </w:rPr>
      </w:pPr>
      <w:bookmarkStart w:id="0" w:name="_GoBack"/>
      <w:bookmarkEnd w:id="0"/>
      <w:r>
        <w:rPr>
          <w:rFonts w:hint="default" w:ascii="Calibri" w:hAnsi="宋体" w:eastAsia="宋体"/>
          <w:color w:val="auto"/>
          <w:position w:val="0"/>
          <w:sz w:val="28"/>
          <w:szCs w:val="28"/>
        </w:rPr>
        <w:t>附件2.</w:t>
      </w:r>
    </w:p>
    <w:p>
      <w:pPr>
        <w:numPr>
          <w:ilvl w:val="0"/>
          <w:numId w:val="0"/>
        </w:numPr>
        <w:autoSpaceDE/>
        <w:autoSpaceDN/>
        <w:spacing w:before="0" w:after="0" w:line="240" w:lineRule="auto"/>
        <w:ind w:right="0" w:firstLine="0"/>
        <w:jc w:val="center"/>
        <w:rPr>
          <w:rFonts w:hint="default" w:ascii="宋体" w:hAnsi="宋体" w:eastAsia="宋体"/>
          <w:color w:val="auto"/>
          <w:position w:val="0"/>
          <w:sz w:val="44"/>
          <w:szCs w:val="44"/>
        </w:rPr>
      </w:pPr>
      <w:r>
        <w:rPr>
          <w:rFonts w:hint="default" w:ascii="宋体" w:hAnsi="宋体" w:eastAsia="宋体"/>
          <w:color w:val="auto"/>
          <w:position w:val="0"/>
          <w:sz w:val="44"/>
          <w:szCs w:val="44"/>
        </w:rPr>
        <w:t>省管领导干部（人员）2017年度履职尽责工作项目清单</w:t>
      </w:r>
    </w:p>
    <w:p>
      <w:pPr>
        <w:numPr>
          <w:ilvl w:val="0"/>
          <w:numId w:val="0"/>
        </w:numPr>
        <w:autoSpaceDE/>
        <w:autoSpaceDN/>
        <w:spacing w:before="0" w:after="0" w:line="240" w:lineRule="auto"/>
        <w:ind w:right="0" w:firstLine="0"/>
        <w:jc w:val="both"/>
        <w:rPr>
          <w:rFonts w:hint="default" w:ascii="仿宋_GB2312" w:hAnsi="仿宋_GB2312" w:eastAsia="仿宋_GB2312"/>
          <w:color w:val="auto"/>
          <w:position w:val="0"/>
          <w:sz w:val="28"/>
          <w:szCs w:val="28"/>
        </w:rPr>
      </w:pPr>
      <w:r>
        <w:rPr>
          <w:rFonts w:hint="default" w:ascii="仿宋_GB2312" w:hAnsi="仿宋_GB2312" w:eastAsia="仿宋_GB2312"/>
          <w:b/>
          <w:color w:val="auto"/>
          <w:position w:val="0"/>
          <w:sz w:val="28"/>
          <w:szCs w:val="28"/>
        </w:rPr>
        <w:t>姓名：</w:t>
      </w:r>
      <w:r>
        <w:rPr>
          <w:rFonts w:hint="default" w:ascii="Times New Roman" w:hAnsi="楷体_GB2312" w:eastAsia="楷体_GB2312"/>
          <w:color w:val="auto"/>
          <w:position w:val="0"/>
          <w:sz w:val="28"/>
          <w:szCs w:val="28"/>
        </w:rPr>
        <w:t>戴国强    咸宁职业技术学院院长、党委副书记                      填报时间：2017年10月25日</w:t>
      </w:r>
    </w:p>
    <w:tbl>
      <w:tblPr>
        <w:tblStyle w:val="26"/>
        <w:tblW w:w="14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2831"/>
        <w:gridCol w:w="928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5" w:hRule="atLeast"/>
        </w:trPr>
        <w:tc>
          <w:tcPr>
            <w:tcW w:w="952" w:type="dxa"/>
            <w:vAlign w:val="center"/>
          </w:tcPr>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项目类别</w:t>
            </w:r>
          </w:p>
        </w:tc>
        <w:tc>
          <w:tcPr>
            <w:tcW w:w="2831" w:type="dxa"/>
            <w:vAlign w:val="center"/>
          </w:tcPr>
          <w:p>
            <w:pPr>
              <w:numPr>
                <w:ilvl w:val="0"/>
                <w:numId w:val="0"/>
              </w:numPr>
              <w:autoSpaceDE/>
              <w:autoSpaceDN/>
              <w:spacing w:before="0" w:after="0" w:line="240" w:lineRule="auto"/>
              <w:ind w:right="0" w:firstLine="0"/>
              <w:jc w:val="center"/>
              <w:rPr>
                <w:rFonts w:hint="default" w:ascii="宋体" w:hAnsi="宋体" w:eastAsia="宋体"/>
                <w:b/>
                <w:color w:val="000000"/>
                <w:position w:val="0"/>
                <w:sz w:val="30"/>
                <w:szCs w:val="30"/>
              </w:rPr>
            </w:pPr>
            <w:r>
              <w:rPr>
                <w:rFonts w:hint="default" w:ascii="宋体" w:hAnsi="宋体" w:eastAsia="宋体"/>
                <w:b/>
                <w:color w:val="000000"/>
                <w:position w:val="0"/>
                <w:sz w:val="30"/>
                <w:szCs w:val="30"/>
              </w:rPr>
              <w:t>项目名称</w:t>
            </w:r>
          </w:p>
        </w:tc>
        <w:tc>
          <w:tcPr>
            <w:tcW w:w="9285" w:type="dxa"/>
            <w:vAlign w:val="center"/>
          </w:tcPr>
          <w:p>
            <w:pPr>
              <w:numPr>
                <w:ilvl w:val="0"/>
                <w:numId w:val="0"/>
              </w:numPr>
              <w:autoSpaceDE/>
              <w:autoSpaceDN/>
              <w:spacing w:before="0" w:after="0" w:line="400" w:lineRule="exact"/>
              <w:ind w:right="0" w:firstLine="0"/>
              <w:jc w:val="center"/>
              <w:rPr>
                <w:rFonts w:hint="default" w:ascii="宋体" w:hAnsi="宋体" w:eastAsia="宋体"/>
                <w:b/>
                <w:color w:val="000000"/>
                <w:position w:val="0"/>
                <w:sz w:val="30"/>
                <w:szCs w:val="30"/>
              </w:rPr>
            </w:pPr>
            <w:r>
              <w:rPr>
                <w:rFonts w:hint="default" w:ascii="宋体" w:hAnsi="宋体" w:eastAsia="宋体"/>
                <w:b/>
                <w:color w:val="000000"/>
                <w:position w:val="0"/>
                <w:sz w:val="30"/>
                <w:szCs w:val="30"/>
              </w:rPr>
              <w:t>目标任务和工作措施</w:t>
            </w:r>
          </w:p>
        </w:tc>
        <w:tc>
          <w:tcPr>
            <w:tcW w:w="1005" w:type="dxa"/>
            <w:vAlign w:val="center"/>
          </w:tcPr>
          <w:p>
            <w:pPr>
              <w:numPr>
                <w:ilvl w:val="0"/>
                <w:numId w:val="0"/>
              </w:numPr>
              <w:autoSpaceDE/>
              <w:autoSpaceDN/>
              <w:spacing w:before="0" w:after="0" w:line="240" w:lineRule="auto"/>
              <w:ind w:right="0" w:firstLine="0"/>
              <w:jc w:val="center"/>
              <w:rPr>
                <w:rFonts w:hint="default" w:ascii="宋体" w:hAnsi="宋体" w:eastAsia="宋体"/>
                <w:b/>
                <w:color w:val="000000"/>
                <w:position w:val="0"/>
                <w:sz w:val="30"/>
                <w:szCs w:val="30"/>
              </w:rPr>
            </w:pPr>
            <w:r>
              <w:rPr>
                <w:rFonts w:hint="default" w:ascii="宋体" w:hAnsi="宋体" w:eastAsia="宋体"/>
                <w:b/>
                <w:color w:val="000000"/>
                <w:position w:val="0"/>
                <w:sz w:val="30"/>
                <w:szCs w:val="30"/>
              </w:rPr>
              <w:t>完成时限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政</w:t>
            </w:r>
          </w:p>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治</w:t>
            </w:r>
          </w:p>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管</w:t>
            </w:r>
          </w:p>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理</w:t>
            </w:r>
          </w:p>
        </w:tc>
        <w:tc>
          <w:tcPr>
            <w:tcW w:w="2831" w:type="dxa"/>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1、坚定政治理想</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坚定理想信念，坚定“四个”自信。</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w:t>
            </w:r>
            <w:r>
              <w:rPr>
                <w:rFonts w:hint="default" w:ascii="仿宋" w:hAnsi="仿宋" w:eastAsia="仿宋"/>
                <w:color w:val="000000"/>
                <w:position w:val="0"/>
                <w:sz w:val="28"/>
                <w:szCs w:val="28"/>
              </w:rPr>
              <w:t>深入学习党的十九大精神，用习近平新时代中国特色社会主义思想武装头脑，保证理想信念坚定，不断增强“四个自信”。</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continue"/>
            <w:tcBorders>
              <w:top w:val="single" w:color="000000" w:sz="4" w:space="0"/>
              <w:left w:val="single" w:color="000000" w:sz="4" w:space="0"/>
              <w:bottom w:val="single" w:color="000000" w:sz="4" w:space="0"/>
              <w:right w:val="single" w:color="000000" w:sz="4" w:space="0"/>
            </w:tcBorders>
            <w:vAlign w:val="center"/>
          </w:tcPr>
          <w:p/>
        </w:tc>
        <w:tc>
          <w:tcPr>
            <w:tcW w:w="2831" w:type="dxa"/>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2、执行政治路线</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坚持党的基本路线，坚定贯彻执行党的理论路线方针政策，坚决贯彻落实党中央和省委、市委决策部署。</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w:t>
            </w:r>
            <w:r>
              <w:rPr>
                <w:rFonts w:hint="default" w:ascii="仿宋" w:hAnsi="仿宋" w:eastAsia="仿宋"/>
                <w:color w:val="000000"/>
                <w:position w:val="0"/>
                <w:sz w:val="28"/>
                <w:szCs w:val="28"/>
              </w:rPr>
              <w:t>认真贯彻落实党的十九大和十八届三中、四中、五中、六中全会精神，推动省第十一次党代会、市委五届党代会精神落实。</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continue"/>
            <w:tcBorders>
              <w:top w:val="single" w:color="000000" w:sz="4" w:space="0"/>
              <w:left w:val="single" w:color="000000" w:sz="4" w:space="0"/>
              <w:bottom w:val="single" w:color="000000" w:sz="4" w:space="0"/>
              <w:right w:val="single" w:color="000000" w:sz="4" w:space="0"/>
            </w:tcBorders>
            <w:vAlign w:val="center"/>
          </w:tcPr>
          <w:p/>
        </w:tc>
        <w:tc>
          <w:tcPr>
            <w:tcW w:w="2831" w:type="dxa"/>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3、严守政治原则</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牢固树立“四个意识”，坚决维护党中央权威和习近平总书记核心地位。</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w:t>
            </w:r>
            <w:r>
              <w:rPr>
                <w:rFonts w:hint="default" w:ascii="仿宋" w:hAnsi="仿宋" w:eastAsia="仿宋"/>
                <w:color w:val="000000"/>
                <w:position w:val="0"/>
                <w:sz w:val="28"/>
                <w:szCs w:val="28"/>
              </w:rPr>
              <w:t>带头学习党章党规、学习习近平总书记系列重要讲话，学习党的十九大精神，做合格党员，向中央对标看齐，不断增强“四个意识”。</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continue"/>
            <w:tcBorders>
              <w:top w:val="single" w:color="000000" w:sz="4" w:space="0"/>
              <w:left w:val="single" w:color="000000" w:sz="4" w:space="0"/>
              <w:bottom w:val="single" w:color="000000" w:sz="4" w:space="0"/>
              <w:right w:val="single" w:color="000000" w:sz="4" w:space="0"/>
            </w:tcBorders>
            <w:vAlign w:val="center"/>
          </w:tcPr>
          <w:p/>
        </w:tc>
        <w:tc>
          <w:tcPr>
            <w:tcW w:w="2831" w:type="dxa"/>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4、站稳政治立场</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坚持党性至上、学生为中心，牢记根本宗旨，践行群众路线，保持党同师生紧密联系。</w:t>
            </w:r>
          </w:p>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工作措施：1.</w:t>
            </w:r>
            <w:r>
              <w:rPr>
                <w:rFonts w:hint="default" w:ascii="仿宋" w:hAnsi="仿宋" w:eastAsia="仿宋"/>
                <w:color w:val="000000"/>
                <w:position w:val="0"/>
                <w:sz w:val="28"/>
                <w:szCs w:val="28"/>
              </w:rPr>
              <w:t>严格落实中央八项规定精神，推进省委六条意见、市委七条要求落实。全年深入基层听取意见建议不少于5次，力争问题在第一时间解决。</w:t>
            </w:r>
            <w:r>
              <w:rPr>
                <w:rFonts w:hint="default" w:ascii="仿宋" w:hAnsi="仿宋" w:eastAsia="仿宋"/>
                <w:b/>
                <w:color w:val="000000"/>
                <w:position w:val="0"/>
                <w:sz w:val="28"/>
                <w:szCs w:val="28"/>
              </w:rPr>
              <w:t>2.</w:t>
            </w:r>
            <w:r>
              <w:rPr>
                <w:rFonts w:hint="default" w:ascii="仿宋" w:hAnsi="仿宋" w:eastAsia="仿宋"/>
                <w:color w:val="000000"/>
                <w:position w:val="0"/>
                <w:sz w:val="28"/>
                <w:szCs w:val="28"/>
              </w:rPr>
              <w:t>深入师生学习、工作、生活一线调查研究、督办落实，推进重点难点问题解决、化解各类矛盾，严防各类风险。</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continue"/>
            <w:tcBorders>
              <w:top w:val="single" w:color="000000" w:sz="4" w:space="0"/>
              <w:left w:val="single" w:color="000000" w:sz="4" w:space="0"/>
              <w:bottom w:val="single" w:color="000000" w:sz="4" w:space="0"/>
              <w:right w:val="single" w:color="000000" w:sz="4" w:space="0"/>
            </w:tcBorders>
            <w:vAlign w:val="center"/>
          </w:tcPr>
          <w:p/>
        </w:tc>
        <w:tc>
          <w:tcPr>
            <w:tcW w:w="2831" w:type="dxa"/>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5、遵守政治纪律</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坚持全面从严管党治党，把政治纪律和政治规矩挺在前面，保持政治定力、纪律定力、道德定力、抵腐定力。</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w:t>
            </w:r>
            <w:r>
              <w:rPr>
                <w:rFonts w:hint="default" w:ascii="仿宋" w:hAnsi="仿宋" w:eastAsia="仿宋"/>
                <w:color w:val="000000"/>
                <w:position w:val="0"/>
                <w:sz w:val="28"/>
                <w:szCs w:val="28"/>
              </w:rPr>
              <w:t>带头强化政治纪律和政治规矩的学习，在思想上政治上行动上同以习近平同志为核心的党中央保持高度一致，令行禁止，坚定不移推进全面从严治党、依规治党、依法办学。</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vAlign w:val="center"/>
          </w:tcPr>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组</w:t>
            </w:r>
          </w:p>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织</w:t>
            </w:r>
          </w:p>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管</w:t>
            </w:r>
          </w:p>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理</w:t>
            </w:r>
          </w:p>
        </w:tc>
        <w:tc>
          <w:tcPr>
            <w:tcW w:w="2831" w:type="dxa"/>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1、严守组织原则</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以贯彻落实民主集中制为核心，提升行政领导班子建设水平，提高整体工作能力。</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w:t>
            </w:r>
            <w:r>
              <w:rPr>
                <w:rFonts w:hint="default" w:ascii="仿宋" w:hAnsi="仿宋" w:eastAsia="仿宋"/>
                <w:color w:val="000000"/>
                <w:position w:val="0"/>
                <w:sz w:val="28"/>
                <w:szCs w:val="28"/>
              </w:rPr>
              <w:t>学习贯彻地方党委工作条例、党的基层组织工作条例，严格遵守、认真执行党委领导下的校长负责制，坚持集体领导和个人分工负责相结合，团结带领班子成员始终按照民主集中制规则议事、决策、办事，与班子成员开展谈心谈话，认真开展批评与自我批评。</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continue"/>
            <w:tcBorders>
              <w:top w:val="single" w:color="000000" w:sz="4" w:space="0"/>
              <w:left w:val="single" w:color="000000" w:sz="4" w:space="0"/>
              <w:bottom w:val="single" w:color="000000" w:sz="4" w:space="0"/>
              <w:right w:val="single" w:color="000000" w:sz="4" w:space="0"/>
            </w:tcBorders>
            <w:vAlign w:val="center"/>
          </w:tcPr>
          <w:p/>
        </w:tc>
        <w:tc>
          <w:tcPr>
            <w:tcW w:w="2831" w:type="dxa"/>
            <w:tcBorders>
              <w:top w:val="single" w:color="000000" w:sz="4" w:space="0"/>
              <w:left w:val="single" w:color="000000" w:sz="4" w:space="0"/>
              <w:bottom w:val="single" w:color="000000" w:sz="4" w:space="0"/>
              <w:right w:val="single" w:color="000000" w:sz="4" w:space="0"/>
            </w:tcBorders>
            <w:tcMar>
              <w:left w:w="57" w:type="dxa"/>
              <w:right w:w="57"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2、严格组织生活</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自觉履行党员义务，主动参加组织生活，加强党性锻炼，带头做合格党员。</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w:t>
            </w:r>
            <w:r>
              <w:rPr>
                <w:rFonts w:hint="default" w:ascii="仿宋" w:hAnsi="仿宋" w:eastAsia="仿宋"/>
                <w:color w:val="000000"/>
                <w:position w:val="0"/>
                <w:sz w:val="28"/>
                <w:szCs w:val="28"/>
              </w:rPr>
              <w:t>强化党员意识、党章意识，带头学习党章、遵从党章，自觉履行党员义务，严格执行双重组织生活制度，认真参加市委中心组、党委中心组和支部主题党日等活动，带头讲党课，自觉接受党内监督。</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8" w:hRule="atLeast"/>
        </w:trPr>
        <w:tc>
          <w:tcPr>
            <w:tcW w:w="952" w:type="dxa"/>
            <w:vMerge w:val="continue"/>
            <w:tcBorders>
              <w:top w:val="single" w:color="000000" w:sz="4" w:space="0"/>
              <w:left w:val="single" w:color="000000" w:sz="4" w:space="0"/>
              <w:bottom w:val="single" w:color="000000" w:sz="4" w:space="0"/>
              <w:right w:val="single" w:color="000000" w:sz="4" w:space="0"/>
            </w:tcBorders>
            <w:vAlign w:val="center"/>
          </w:tcPr>
          <w:p/>
        </w:tc>
        <w:tc>
          <w:tcPr>
            <w:tcW w:w="2831" w:type="dxa"/>
            <w:tcBorders>
              <w:top w:val="single" w:color="000000" w:sz="4" w:space="0"/>
              <w:left w:val="single" w:color="000000" w:sz="4" w:space="0"/>
              <w:bottom w:val="single" w:color="000000" w:sz="4" w:space="0"/>
              <w:right w:val="single" w:color="000000" w:sz="4" w:space="0"/>
            </w:tcBorders>
            <w:tcMar>
              <w:left w:w="28" w:type="dxa"/>
              <w:right w:w="28" w:type="dxa"/>
            </w:tcMar>
            <w:vAlign w:val="center"/>
          </w:tcPr>
          <w:p>
            <w:pPr>
              <w:numPr>
                <w:ilvl w:val="0"/>
                <w:numId w:val="0"/>
              </w:numPr>
              <w:autoSpaceDE/>
              <w:autoSpaceDN/>
              <w:spacing w:before="0" w:after="0" w:line="240" w:lineRule="auto"/>
              <w:ind w:right="0" w:firstLine="0"/>
              <w:jc w:val="center"/>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3、严守组织纪律</w:t>
            </w:r>
          </w:p>
        </w:tc>
        <w:tc>
          <w:tcPr>
            <w:tcW w:w="928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严明组织纪律，严守组织纪律，自觉做到“四个服从”，保持党组织和党员队伍的先进性和纯洁性。</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w:t>
            </w:r>
            <w:r>
              <w:rPr>
                <w:rFonts w:hint="default" w:ascii="仿宋" w:hAnsi="仿宋" w:eastAsia="仿宋"/>
                <w:color w:val="000000"/>
                <w:position w:val="0"/>
                <w:sz w:val="28"/>
                <w:szCs w:val="28"/>
              </w:rPr>
              <w:t>带头遵守党的组织纪律，自觉做到“四个服从”，从严执行中央决策部署，从严落实党内制度规定，从严执行组织纪律，从严推进党组织和党员队伍建设。</w:t>
            </w:r>
          </w:p>
        </w:tc>
        <w:tc>
          <w:tcPr>
            <w:tcW w:w="1005" w:type="dxa"/>
            <w:tcBorders>
              <w:top w:val="single" w:color="000000" w:sz="4" w:space="0"/>
              <w:left w:val="single" w:color="000000" w:sz="4" w:space="0"/>
              <w:bottom w:val="single" w:color="000000" w:sz="4" w:space="0"/>
              <w:right w:val="single" w:color="000000" w:sz="4" w:space="0"/>
            </w:tcBorders>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长期坚持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restart"/>
            <w:textDirection w:val="tbRlV"/>
            <w:vAlign w:val="center"/>
          </w:tcPr>
          <w:p>
            <w:pPr>
              <w:numPr>
                <w:ilvl w:val="0"/>
                <w:numId w:val="0"/>
              </w:numPr>
              <w:autoSpaceDE/>
              <w:autoSpaceDN/>
              <w:spacing w:before="0" w:after="0" w:line="240" w:lineRule="auto"/>
              <w:ind w:left="113" w:right="113"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履  职  尽  责</w:t>
            </w:r>
          </w:p>
        </w:tc>
        <w:tc>
          <w:tcPr>
            <w:tcW w:w="2831" w:type="dxa"/>
            <w:shd w:val="clear" w:color="000000" w:fill="auto"/>
            <w:vAlign w:val="center"/>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1.立德树人</w:t>
            </w:r>
          </w:p>
        </w:tc>
        <w:tc>
          <w:tcPr>
            <w:tcW w:w="9285" w:type="dxa"/>
            <w:shd w:val="clear" w:color="000000" w:fill="auto"/>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目标任务:坚持立德树人，全力提升学生综合素质</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工作措施：1.加强思想政治教育。</w:t>
            </w:r>
            <w:r>
              <w:rPr>
                <w:rFonts w:hint="default" w:ascii="仿宋" w:hAnsi="仿宋" w:eastAsia="仿宋"/>
                <w:color w:val="000000"/>
                <w:position w:val="0"/>
                <w:sz w:val="28"/>
                <w:szCs w:val="28"/>
              </w:rPr>
              <w:t>贯彻全国高校思想政治工作会议精神，研究制定《落实全国高校思想政治工作会议精神的实施方案》并认真组织实施。2.</w:t>
            </w:r>
            <w:r>
              <w:rPr>
                <w:rFonts w:hint="default" w:ascii="仿宋" w:hAnsi="仿宋" w:eastAsia="仿宋"/>
                <w:b/>
                <w:color w:val="000000"/>
                <w:position w:val="0"/>
                <w:sz w:val="28"/>
                <w:szCs w:val="28"/>
              </w:rPr>
              <w:t>加强职业精神培养。</w:t>
            </w:r>
            <w:r>
              <w:rPr>
                <w:rFonts w:hint="default" w:ascii="仿宋" w:hAnsi="仿宋" w:eastAsia="仿宋"/>
                <w:color w:val="000000"/>
                <w:position w:val="0"/>
                <w:sz w:val="28"/>
                <w:szCs w:val="28"/>
              </w:rPr>
              <w:t>加强职业文化建设，营造培养学生职业精神和职业技能的良好氛围。3.</w:t>
            </w:r>
            <w:r>
              <w:rPr>
                <w:rFonts w:hint="default" w:ascii="仿宋" w:hAnsi="仿宋" w:eastAsia="仿宋"/>
                <w:b/>
                <w:color w:val="000000"/>
                <w:position w:val="0"/>
                <w:sz w:val="28"/>
                <w:szCs w:val="28"/>
              </w:rPr>
              <w:t>加强学生日常管理。</w:t>
            </w:r>
            <w:r>
              <w:rPr>
                <w:rFonts w:hint="default" w:ascii="仿宋" w:hAnsi="仿宋" w:eastAsia="仿宋"/>
                <w:color w:val="000000"/>
                <w:position w:val="0"/>
                <w:sz w:val="28"/>
                <w:szCs w:val="28"/>
              </w:rPr>
              <w:t>实施辅导员“提升计划”，开设辅导员讲坛、举办辅导员职业技能大赛，提高辅导员队伍的理论水平和业务能力，建设一支适应新时代要求的政治辅导员队伍。4.</w:t>
            </w:r>
            <w:r>
              <w:rPr>
                <w:rFonts w:hint="default" w:ascii="仿宋" w:hAnsi="仿宋" w:eastAsia="仿宋"/>
                <w:b/>
                <w:color w:val="000000"/>
                <w:position w:val="0"/>
                <w:sz w:val="28"/>
                <w:szCs w:val="28"/>
              </w:rPr>
              <w:t>加强团学工作。</w:t>
            </w:r>
            <w:r>
              <w:rPr>
                <w:rFonts w:hint="default" w:ascii="仿宋" w:hAnsi="仿宋" w:eastAsia="仿宋"/>
                <w:color w:val="000000"/>
                <w:position w:val="0"/>
                <w:sz w:val="28"/>
                <w:szCs w:val="28"/>
              </w:rPr>
              <w:t>深入抓好以学生为中心的共青团工作，在引领学生成长成才、维护学生合法权益、服务教育教学中发挥积极作用。做好基层团组织和各级学生会建设，开展共青团“一学一做”教育实践活动。筹备召开学校首届团代会和学代会。5.</w:t>
            </w:r>
            <w:r>
              <w:rPr>
                <w:rFonts w:hint="default" w:ascii="仿宋" w:hAnsi="仿宋" w:eastAsia="仿宋"/>
                <w:b/>
                <w:color w:val="000000"/>
                <w:position w:val="0"/>
                <w:sz w:val="28"/>
                <w:szCs w:val="28"/>
              </w:rPr>
              <w:t>加强学生安全教育等服务工作。</w:t>
            </w:r>
            <w:r>
              <w:rPr>
                <w:rFonts w:hint="default" w:ascii="仿宋" w:hAnsi="仿宋" w:eastAsia="仿宋"/>
                <w:color w:val="000000"/>
                <w:position w:val="0"/>
                <w:sz w:val="28"/>
                <w:szCs w:val="28"/>
              </w:rPr>
              <w:t>定期组织安全宣传和消防、逃生自救演练等活动，集中开展校园交通安全、食品安全等专题教育活动,</w:t>
            </w:r>
            <w:r>
              <w:rPr>
                <w:rFonts w:hint="default" w:ascii="仿宋" w:hAnsi="仿宋" w:eastAsia="仿宋"/>
                <w:color w:val="auto"/>
                <w:position w:val="0"/>
                <w:sz w:val="28"/>
                <w:szCs w:val="28"/>
              </w:rPr>
              <w:t>做好重点时期的学生心理危机排查和干预工作，</w:t>
            </w:r>
            <w:r>
              <w:rPr>
                <w:rFonts w:hint="default" w:ascii="仿宋" w:hAnsi="仿宋" w:eastAsia="仿宋"/>
                <w:color w:val="000000"/>
                <w:position w:val="0"/>
                <w:sz w:val="28"/>
                <w:szCs w:val="28"/>
              </w:rPr>
              <w:t>推动大学生心理健康教育中心内涵建设。</w:t>
            </w:r>
          </w:p>
        </w:tc>
        <w:tc>
          <w:tcPr>
            <w:tcW w:w="1005" w:type="dxa"/>
            <w:shd w:val="clear" w:color="000000" w:fill="auto"/>
            <w:vAlign w:val="top"/>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 xml:space="preserve">全年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continue"/>
            <w:vAlign w:val="center"/>
          </w:tcPr>
          <w:p/>
        </w:tc>
        <w:tc>
          <w:tcPr>
            <w:tcW w:w="2831" w:type="dxa"/>
            <w:shd w:val="clear" w:color="000000" w:fill="auto"/>
            <w:vAlign w:val="center"/>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2"/>
                <w:szCs w:val="32"/>
              </w:rPr>
              <w:t>2.教学工作目标</w:t>
            </w:r>
          </w:p>
        </w:tc>
        <w:tc>
          <w:tcPr>
            <w:tcW w:w="9285" w:type="dxa"/>
            <w:shd w:val="clear" w:color="000000" w:fill="auto"/>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专业调整控制在40个左右，促进专业做特、做优、做强，全力打造“一院一特色、一院一品牌”。建设校级精品资源在线开放课程9门。确保会计专业联合培养高职本科人才试点启动成功。师生各级各类技能竞赛获奖成绩列省内高职院校前10名。</w:t>
            </w:r>
          </w:p>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工作措施：坚持内涵发展，全力推进教学改革</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1.优化专业结构。</w:t>
            </w:r>
            <w:r>
              <w:rPr>
                <w:rFonts w:hint="default" w:ascii="仿宋" w:hAnsi="仿宋" w:eastAsia="仿宋"/>
                <w:color w:val="000000"/>
                <w:position w:val="0"/>
                <w:sz w:val="28"/>
                <w:szCs w:val="28"/>
              </w:rPr>
              <w:t>坚持专业设置对接产业需求，建立产业结构调整驱动专业设置与改革的机制。</w:t>
            </w:r>
            <w:r>
              <w:rPr>
                <w:rFonts w:hint="default" w:ascii="仿宋" w:hAnsi="仿宋" w:eastAsia="仿宋"/>
                <w:b/>
                <w:color w:val="000000"/>
                <w:position w:val="0"/>
                <w:sz w:val="28"/>
                <w:szCs w:val="28"/>
              </w:rPr>
              <w:t>2.深化教学改革。</w:t>
            </w:r>
            <w:r>
              <w:rPr>
                <w:rFonts w:hint="default" w:ascii="仿宋" w:hAnsi="仿宋" w:eastAsia="仿宋"/>
                <w:color w:val="000000"/>
                <w:position w:val="0"/>
                <w:sz w:val="28"/>
                <w:szCs w:val="28"/>
              </w:rPr>
              <w:t>大力推行学分制和素质学分制。修订2017级人才培养方案,实现学生自主学习、分类培养。</w:t>
            </w:r>
            <w:r>
              <w:rPr>
                <w:rFonts w:hint="default" w:ascii="仿宋" w:hAnsi="仿宋" w:eastAsia="仿宋"/>
                <w:b/>
                <w:color w:val="000000"/>
                <w:position w:val="0"/>
                <w:sz w:val="28"/>
                <w:szCs w:val="28"/>
              </w:rPr>
              <w:t>3.提升系统化培养水平</w:t>
            </w:r>
            <w:r>
              <w:rPr>
                <w:rFonts w:hint="default" w:ascii="仿宋" w:hAnsi="仿宋" w:eastAsia="仿宋"/>
                <w:color w:val="000000"/>
                <w:position w:val="0"/>
                <w:sz w:val="28"/>
                <w:szCs w:val="28"/>
              </w:rPr>
              <w:t>。完善职业教育人才多样化培养渠道，建立产业技术进步驱动课程改革的机制，健全“文化素质+职业技能”。积极开展“五年制”联合培养办学，进一步拓展“3+2”联合办学对口中职学校和专业，稳定学前教育专业“五年一贯制”办学规模。4.</w:t>
            </w:r>
            <w:r>
              <w:rPr>
                <w:rFonts w:hint="default" w:ascii="仿宋" w:hAnsi="仿宋" w:eastAsia="仿宋"/>
                <w:b/>
                <w:color w:val="000000"/>
                <w:position w:val="0"/>
                <w:sz w:val="28"/>
                <w:szCs w:val="28"/>
              </w:rPr>
              <w:t>推动教学诊改。</w:t>
            </w:r>
            <w:r>
              <w:rPr>
                <w:rFonts w:hint="default" w:ascii="仿宋" w:hAnsi="仿宋" w:eastAsia="仿宋"/>
                <w:color w:val="000000"/>
                <w:position w:val="0"/>
                <w:sz w:val="28"/>
                <w:szCs w:val="28"/>
              </w:rPr>
              <w:t>按优质高职标准，完善考评体系，以人才培养工作状态数据为基础，开展教学诊断与改进工作。</w:t>
            </w:r>
            <w:r>
              <w:rPr>
                <w:rFonts w:hint="default" w:ascii="仿宋" w:hAnsi="仿宋" w:eastAsia="仿宋"/>
                <w:b/>
                <w:color w:val="000000"/>
                <w:position w:val="0"/>
                <w:sz w:val="28"/>
                <w:szCs w:val="28"/>
              </w:rPr>
              <w:t>5.推进项目建设。</w:t>
            </w:r>
            <w:r>
              <w:rPr>
                <w:rFonts w:hint="default" w:ascii="仿宋" w:hAnsi="仿宋" w:eastAsia="仿宋"/>
                <w:color w:val="000000"/>
                <w:position w:val="0"/>
                <w:sz w:val="28"/>
                <w:szCs w:val="28"/>
              </w:rPr>
              <w:t>完成2个省级品牌特色专业建设资金绩效考核,完成参与的6个国家专业教学资源库建设任务；按照学校“高职创新发展三年行动计划实施方案”，组织各子项目承担单位开展项目建设。</w:t>
            </w:r>
            <w:r>
              <w:rPr>
                <w:rFonts w:hint="default" w:ascii="仿宋" w:hAnsi="仿宋" w:eastAsia="仿宋"/>
                <w:b/>
                <w:color w:val="000000"/>
                <w:position w:val="0"/>
                <w:sz w:val="28"/>
                <w:szCs w:val="28"/>
              </w:rPr>
              <w:t>6.推进鄂南职教集团建设。</w:t>
            </w:r>
            <w:r>
              <w:rPr>
                <w:rFonts w:hint="default" w:ascii="仿宋" w:hAnsi="仿宋" w:eastAsia="仿宋"/>
                <w:color w:val="000000"/>
                <w:position w:val="0"/>
                <w:sz w:val="28"/>
                <w:szCs w:val="28"/>
              </w:rPr>
              <w:t>完成集团理事会换届工作，完善内部管理和运行机制，创新职教办学体制和机制，推动多元合作的职业教育集团化办学，提升职业教育服务区域经济社会发展的能力，推动国家示范职教集团创建工作。</w:t>
            </w:r>
          </w:p>
        </w:tc>
        <w:tc>
          <w:tcPr>
            <w:tcW w:w="1005" w:type="dxa"/>
            <w:shd w:val="clear" w:color="000000" w:fill="auto"/>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 w:type="dxa"/>
            <w:vMerge w:val="continue"/>
            <w:vAlign w:val="center"/>
          </w:tcPr>
          <w:p/>
        </w:tc>
        <w:tc>
          <w:tcPr>
            <w:tcW w:w="2831" w:type="dxa"/>
            <w:shd w:val="clear" w:color="000000" w:fill="auto"/>
            <w:vAlign w:val="center"/>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3.科研与社会服务</w:t>
            </w:r>
          </w:p>
        </w:tc>
        <w:tc>
          <w:tcPr>
            <w:tcW w:w="9285" w:type="dxa"/>
            <w:shd w:val="clear" w:color="000000" w:fill="auto"/>
            <w:vAlign w:val="center"/>
          </w:tcPr>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实现科研成果转化技术交易额突破20万；专利授权在50项以上，着力培育1-2项咸宁一流的标志性成果。加大“政、校、企、所”合作力度，合作项目30个以上，新增产业学院2个，提供培训达12000人(次)以上，力争创造经济价值1000万以上。努力争取政府支持立项建设大学生科技园项目。</w:t>
            </w:r>
          </w:p>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工作措施：坚持科技创新，全力提升服务社会能力</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1.强化科技创新能力。</w:t>
            </w:r>
            <w:r>
              <w:rPr>
                <w:rFonts w:hint="default" w:ascii="仿宋" w:hAnsi="仿宋" w:eastAsia="仿宋"/>
                <w:color w:val="000000"/>
                <w:position w:val="0"/>
                <w:sz w:val="28"/>
                <w:szCs w:val="28"/>
              </w:rPr>
              <w:t>一是创新科技工作机制。进一步修订和完善科研经费、科研奖励管理办法，形成有效的激励机制。加大对重大重点项目、重大科技成果以及高水平论文、专著、发明专利的奖励和支持力度。加强科研项目成果的鉴定、验收、报奖和科技成果转化的组织工作。二是加快工程技术研发中心建设，助推区域技术创新体系的构建。</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2.推进“双百工程”。</w:t>
            </w:r>
            <w:r>
              <w:rPr>
                <w:rFonts w:hint="default" w:ascii="仿宋" w:hAnsi="仿宋" w:eastAsia="仿宋"/>
                <w:color w:val="000000"/>
                <w:position w:val="0"/>
                <w:sz w:val="28"/>
                <w:szCs w:val="28"/>
              </w:rPr>
              <w:t>进一步落实“双百工程”，加强专业教师与行业企业深度融合。高度关注鄂南民间传统技艺的传承与人才培养,通过教学成果、科研成果的积累，形成一批具有应用开发价值的项目。</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3.提高服务能力。</w:t>
            </w:r>
            <w:r>
              <w:rPr>
                <w:rFonts w:hint="default" w:ascii="仿宋" w:hAnsi="仿宋" w:eastAsia="仿宋"/>
                <w:color w:val="000000"/>
                <w:position w:val="0"/>
                <w:sz w:val="28"/>
                <w:szCs w:val="28"/>
              </w:rPr>
              <w:t>做好 “一村多名大学生计划”工作。积极与地方政府和优质企业联合开展“现代学徒制”培养试点工作。</w:t>
            </w:r>
          </w:p>
        </w:tc>
        <w:tc>
          <w:tcPr>
            <w:tcW w:w="1005" w:type="dxa"/>
            <w:shd w:val="clear" w:color="000000" w:fill="auto"/>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2" w:hRule="atLeast"/>
        </w:trPr>
        <w:tc>
          <w:tcPr>
            <w:tcW w:w="952" w:type="dxa"/>
            <w:vMerge w:val="continue"/>
            <w:vAlign w:val="center"/>
          </w:tcPr>
          <w:p/>
        </w:tc>
        <w:tc>
          <w:tcPr>
            <w:tcW w:w="2831" w:type="dxa"/>
            <w:shd w:val="clear" w:color="000000" w:fill="auto"/>
            <w:vAlign w:val="center"/>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4.招生与创业就业</w:t>
            </w:r>
          </w:p>
        </w:tc>
        <w:tc>
          <w:tcPr>
            <w:tcW w:w="9285" w:type="dxa"/>
            <w:shd w:val="clear" w:color="000000" w:fill="auto"/>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全年共招收各类新生5000人左右。新增注册学生创办民营企业20家以上。2017届毕业生就业率达95％左右，协议就业率达65%左右，创业率达2％左右。</w:t>
            </w:r>
          </w:p>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工作措施：坚持稳定办学规模，全力提高创业就业质量</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1.提高招生质效。</w:t>
            </w:r>
            <w:r>
              <w:rPr>
                <w:rFonts w:hint="default" w:ascii="仿宋" w:hAnsi="仿宋" w:eastAsia="仿宋"/>
                <w:color w:val="000000"/>
                <w:position w:val="0"/>
                <w:sz w:val="28"/>
                <w:szCs w:val="28"/>
              </w:rPr>
              <w:t>规范招生过程管理，坚持阳光招生。加大招生宣传工作力度，积极探索“互联网+”的招生新形式。做好学生专本联合培养的前期工作，吸引优质生源。加强与生源学校的联系，建立一批优质生源基地。</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2.提升就业指导服务水平。</w:t>
            </w:r>
            <w:r>
              <w:rPr>
                <w:rFonts w:hint="default" w:ascii="仿宋" w:hAnsi="仿宋" w:eastAsia="仿宋"/>
                <w:color w:val="000000"/>
                <w:position w:val="0"/>
                <w:sz w:val="28"/>
                <w:szCs w:val="28"/>
              </w:rPr>
              <w:t>建立行业、企业人才需求信息库，强化学生就业指导与服务。加强就业困难毕业生的就业帮扶，树立就业先进典型。加强就业过程监管和就业跟踪服务管理，形成就业指导服务机制，提升毕业生就业竞争力和用人单位满意度，提高毕业生的就业质量。</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3.提升学生创新创业能力。</w:t>
            </w:r>
            <w:r>
              <w:rPr>
                <w:rFonts w:hint="default" w:ascii="仿宋" w:hAnsi="仿宋" w:eastAsia="仿宋"/>
                <w:color w:val="000000"/>
                <w:position w:val="0"/>
                <w:sz w:val="28"/>
                <w:szCs w:val="28"/>
              </w:rPr>
              <w:t>深入推进学生的创新创业教育，发掘重点、培育典型。大力开展宣传教育，营造良好氛围，鼓励学生创新创业。搭建平台，充分发挥各专业实训基地的功能，为学生创新创业服务。加强众创空间的建设与管理，孵化创新创业好项目，提高学生创新创业项目质量。</w:t>
            </w:r>
          </w:p>
        </w:tc>
        <w:tc>
          <w:tcPr>
            <w:tcW w:w="1005" w:type="dxa"/>
            <w:shd w:val="clear" w:color="000000" w:fill="auto"/>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952" w:type="dxa"/>
            <w:vMerge w:val="continue"/>
            <w:vAlign w:val="center"/>
          </w:tcPr>
          <w:p/>
        </w:tc>
        <w:tc>
          <w:tcPr>
            <w:tcW w:w="2831" w:type="dxa"/>
            <w:shd w:val="clear" w:color="000000" w:fill="auto"/>
            <w:vAlign w:val="center"/>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p>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p>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p>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p>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5.人力资源管理</w:t>
            </w:r>
          </w:p>
        </w:tc>
        <w:tc>
          <w:tcPr>
            <w:tcW w:w="9285" w:type="dxa"/>
            <w:shd w:val="clear" w:color="000000" w:fill="auto"/>
            <w:vAlign w:val="center"/>
          </w:tcPr>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 xml:space="preserve"> 修订完善教师职称评聘办法、专业带头人选拔与管理办法、“三定”方案，逐步优化人员配置。做好人才引进工作，建设后备人才队伍。优化薪酬体系，完善绩效考核与分配办法。组织教职工进行专业能力提升300人次以上。</w:t>
            </w:r>
          </w:p>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工作措施：坚持外引内培，建设高素质团队</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1.加强师德师风建设。</w:t>
            </w:r>
            <w:r>
              <w:rPr>
                <w:rFonts w:hint="default" w:ascii="仿宋" w:hAnsi="仿宋" w:eastAsia="仿宋"/>
                <w:color w:val="000000"/>
                <w:position w:val="0"/>
                <w:sz w:val="28"/>
                <w:szCs w:val="28"/>
              </w:rPr>
              <w:t>建立规范和引导机制，教育引导教职工模范履行岗位职责，自觉加强道德修养和师德师风建设。建立健全行为规范、职业道德规范以及师德师风考核评价办法。大力宣传先进模范人物的典型事迹。</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2.强化师资队伍建设。</w:t>
            </w:r>
            <w:r>
              <w:rPr>
                <w:rFonts w:hint="default" w:ascii="仿宋" w:hAnsi="仿宋" w:eastAsia="仿宋"/>
                <w:color w:val="000000"/>
                <w:position w:val="0"/>
                <w:sz w:val="28"/>
                <w:szCs w:val="28"/>
              </w:rPr>
              <w:t>继续加强“双师型”师资队伍建设与管理，建设符合国家规定标准的 “双师型”师资队伍。组织好教师信息化教学大赛和校内公开课、示范课等赛事活动，提高教师的教学能力和信息化教学水平。落实人才引进工作，优化教师队伍结构。完善教师培养机制，做好专业带头人、优秀青年人才、技能名师等项目的申报及管理工作。加强对教师资格和教学能力的审核、考评，推动教师分类管理、分类评价改革，规范教师队伍管理。做好学校人事档案、教师业务档案工作，实现人事档案、教师业务档案管理信息化、规范化。</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3.提升教职工素质。</w:t>
            </w:r>
            <w:r>
              <w:rPr>
                <w:rFonts w:hint="default" w:ascii="仿宋" w:hAnsi="仿宋" w:eastAsia="仿宋"/>
                <w:color w:val="000000"/>
                <w:position w:val="0"/>
                <w:sz w:val="28"/>
                <w:szCs w:val="28"/>
              </w:rPr>
              <w:t>加大现有专业技术人员和管理服务人员的培训力度，支持和帮助在职教职工通过脱产、业余、出国访学等形式学习提高。落实“职业院校教师素质提高计划”，推荐专业技术和管理骨干参加国家级省级各类培训、交流学习、顶岗实践，重点推进“百名教师进企业”工程。组织做好校内专任教师、辅导员、宿管员的业务培训，以及财务、审计、人事管理、档案管理、文秘等工作人员的业务培训工作，实现教职工年度培训全覆盖。</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4.深化人事制度改革。</w:t>
            </w:r>
            <w:r>
              <w:rPr>
                <w:rFonts w:hint="default" w:ascii="仿宋" w:hAnsi="仿宋" w:eastAsia="仿宋"/>
                <w:color w:val="000000"/>
                <w:position w:val="0"/>
                <w:sz w:val="28"/>
                <w:szCs w:val="28"/>
              </w:rPr>
              <w:t>依据高等职业教育特点，修订学校人事管理制度和绩效工资改革实施方案。逐步淡化行政级别，试行职员制，探索岗位薪酬制。启动开展岗位工作效益评价考核试点，提高工作质量和工作效率。</w:t>
            </w:r>
          </w:p>
        </w:tc>
        <w:tc>
          <w:tcPr>
            <w:tcW w:w="1005" w:type="dxa"/>
            <w:shd w:val="clear" w:color="000000" w:fill="auto"/>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952" w:type="dxa"/>
            <w:vMerge w:val="continue"/>
            <w:vAlign w:val="center"/>
          </w:tcPr>
          <w:p/>
        </w:tc>
        <w:tc>
          <w:tcPr>
            <w:tcW w:w="2831" w:type="dxa"/>
            <w:shd w:val="clear" w:color="000000" w:fill="auto"/>
            <w:vAlign w:val="center"/>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6.综合服务管理</w:t>
            </w:r>
          </w:p>
        </w:tc>
        <w:tc>
          <w:tcPr>
            <w:tcW w:w="9285" w:type="dxa"/>
            <w:shd w:val="clear" w:color="000000" w:fill="auto"/>
            <w:vAlign w:val="center"/>
          </w:tcPr>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目标任务:</w:t>
            </w:r>
            <w:r>
              <w:rPr>
                <w:rFonts w:hint="default" w:ascii="仿宋" w:hAnsi="仿宋" w:eastAsia="仿宋"/>
                <w:color w:val="000000"/>
                <w:position w:val="0"/>
                <w:sz w:val="28"/>
                <w:szCs w:val="28"/>
              </w:rPr>
              <w:t xml:space="preserve"> 建立完善内部控制度，完成2016年度财务审计、2014-2017年度中层干部任期责任审计和重点项目专项审计等工作。力争学校总收入在1.7亿元以上。按AAA级景区标准完成校园规划，年度计划建设项目开工率达100%。饮食服务中心总营业额比上一年增长达 5%以上，总营业额达到 1700 万元。水电费支出控制在270万元以内。做好各类安全稳定工作，确保全年不发生重大安全责任事故，确保省级平安校园复评通过。</w:t>
            </w:r>
          </w:p>
          <w:p>
            <w:pPr>
              <w:numPr>
                <w:ilvl w:val="0"/>
                <w:numId w:val="0"/>
              </w:numPr>
              <w:autoSpaceDE/>
              <w:autoSpaceDN/>
              <w:spacing w:before="0" w:after="0" w:line="400" w:lineRule="exact"/>
              <w:ind w:right="0" w:firstLine="0"/>
              <w:jc w:val="both"/>
              <w:rPr>
                <w:rFonts w:hint="default" w:ascii="仿宋" w:hAnsi="仿宋" w:eastAsia="仿宋"/>
                <w:b/>
                <w:color w:val="000000"/>
                <w:position w:val="0"/>
                <w:sz w:val="28"/>
                <w:szCs w:val="28"/>
              </w:rPr>
            </w:pPr>
            <w:r>
              <w:rPr>
                <w:rFonts w:hint="default" w:ascii="仿宋" w:hAnsi="仿宋" w:eastAsia="仿宋"/>
                <w:b/>
                <w:color w:val="000000"/>
                <w:position w:val="0"/>
                <w:sz w:val="28"/>
                <w:szCs w:val="28"/>
              </w:rPr>
              <w:t>工作措施：坚持依法治校，全力提高服务保障水平</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1.抓好巡视整改。</w:t>
            </w:r>
            <w:r>
              <w:rPr>
                <w:rFonts w:hint="default" w:ascii="仿宋" w:hAnsi="仿宋" w:eastAsia="仿宋"/>
                <w:color w:val="000000"/>
                <w:position w:val="0"/>
                <w:sz w:val="28"/>
                <w:szCs w:val="28"/>
              </w:rPr>
              <w:t>坚持把巡视整改作为严肃的重大政治任务，以坚决果断的态度和措施贯彻政治巡视要求。对巡视组指出的有关问题，诚恳接受、深刻剖析、坚决整改；对巡视组提出的意见，认真领会、全面贯彻、坚决落实。</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2.完善治理结构。</w:t>
            </w:r>
            <w:r>
              <w:rPr>
                <w:rFonts w:hint="default" w:ascii="仿宋" w:hAnsi="仿宋" w:eastAsia="仿宋"/>
                <w:color w:val="000000"/>
                <w:position w:val="0"/>
                <w:sz w:val="28"/>
                <w:szCs w:val="28"/>
              </w:rPr>
              <w:t>完善校长办公会的议事规则，贯彻落实学校《章程》，按照现代大学治理的要求推进新一轮规章制度修订。深入实施学校“十三五”发展规划，完善学术委员会等管理和运行机制。修订目标管理指标体系，深入实施目标管理责任制，重视过程跟踪和结果奖惩，发挥考评的导向作用。坚持党务公开、校务公开，实行民主管理。</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3.提高资金资产使用效益。</w:t>
            </w:r>
            <w:r>
              <w:rPr>
                <w:rFonts w:hint="default" w:ascii="仿宋" w:hAnsi="仿宋" w:eastAsia="仿宋"/>
                <w:color w:val="000000"/>
                <w:position w:val="0"/>
                <w:sz w:val="28"/>
                <w:szCs w:val="28"/>
              </w:rPr>
              <w:t>坚持开源节流，在盘活现有资源的基础上，加大多渠道筹措经费力度。建立内部控制制度，强化内控监督和预算管理，提高经费的使用效率。严格规范招标采购，做好对大额资金采购项目的可行性论证，坚决杜绝重复采购。筹组资产经营公司，合理配置资产资源，发挥资产资源的效用。加强内部审计工作，强化对基建与维修工程、干部经济责任和专项审计的审计力度。</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4.提升服务保障水平。</w:t>
            </w:r>
            <w:r>
              <w:rPr>
                <w:rFonts w:hint="default" w:ascii="仿宋" w:hAnsi="仿宋" w:eastAsia="仿宋"/>
                <w:color w:val="000000"/>
                <w:position w:val="0"/>
                <w:sz w:val="28"/>
                <w:szCs w:val="28"/>
              </w:rPr>
              <w:t>继续实行水电节能目标管理，做好校园基础设施维修。推进后勤管理体制改革，完善学生食堂经营管理模式。加强校园安全工作，严格落实校园安全“三级”管理责任制，严格执行应急值班制度。深入推进全民阅读活动，让咸职校园飘满书香。按规划做好“智慧校园”建设工作，加强网站建设，提升网络功能，确保网络安全。强化学校档案管理统筹职能，规范档案和保密管理工作。</w:t>
            </w:r>
          </w:p>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b/>
                <w:color w:val="000000"/>
                <w:position w:val="0"/>
                <w:sz w:val="28"/>
                <w:szCs w:val="28"/>
              </w:rPr>
              <w:t>5.营造风清气正校园氛围。</w:t>
            </w:r>
            <w:r>
              <w:rPr>
                <w:rFonts w:hint="default" w:ascii="仿宋" w:hAnsi="仿宋" w:eastAsia="仿宋"/>
                <w:color w:val="000000"/>
                <w:position w:val="0"/>
                <w:sz w:val="28"/>
                <w:szCs w:val="28"/>
              </w:rPr>
              <w:t>强化权力规范运作和监督，把“两个责任”的螺丝拧紧。深入贯彻落实中央八项规定精神，持续改进文风、会风，持之以恒纠正“四风”。，努力构建“山清水秀”的校园政治生态，营造风清气正校园氛围。</w:t>
            </w:r>
          </w:p>
        </w:tc>
        <w:tc>
          <w:tcPr>
            <w:tcW w:w="1005" w:type="dxa"/>
            <w:shd w:val="clear" w:color="000000" w:fill="auto"/>
            <w:vAlign w:val="center"/>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7" w:hRule="atLeast"/>
        </w:trPr>
        <w:tc>
          <w:tcPr>
            <w:tcW w:w="952" w:type="dxa"/>
            <w:vMerge w:val="restart"/>
            <w:textDirection w:val="tbRlV"/>
            <w:vAlign w:val="center"/>
          </w:tcPr>
          <w:p>
            <w:pPr>
              <w:numPr>
                <w:ilvl w:val="0"/>
                <w:numId w:val="0"/>
              </w:numPr>
              <w:autoSpaceDE/>
              <w:autoSpaceDN/>
              <w:spacing w:before="0" w:after="0" w:line="240" w:lineRule="auto"/>
              <w:ind w:left="113" w:right="113"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一岗双责</w:t>
            </w:r>
          </w:p>
        </w:tc>
        <w:tc>
          <w:tcPr>
            <w:tcW w:w="2831" w:type="dxa"/>
            <w:shd w:val="clear" w:color="000000" w:fill="auto"/>
            <w:vAlign w:val="center"/>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1.党风廉政责任</w:t>
            </w:r>
          </w:p>
        </w:tc>
        <w:tc>
          <w:tcPr>
            <w:tcW w:w="9285" w:type="dxa"/>
            <w:shd w:val="clear" w:color="000000" w:fill="auto"/>
            <w:vAlign w:val="center"/>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color w:val="000000"/>
                <w:position w:val="0"/>
                <w:sz w:val="28"/>
                <w:szCs w:val="28"/>
              </w:rPr>
              <w:t>1、抓好学校行政班子廉政教育；2、做好处室、院部干部职工的廉洁教育工作；3、与行政班子成员和处室、院（部）负责人签订廉政责任书；4、与班子成员、重点风险岗位负责同志进行廉政谈话；5、督促抓好相关审计工作。</w:t>
            </w:r>
          </w:p>
        </w:tc>
        <w:tc>
          <w:tcPr>
            <w:tcW w:w="1005" w:type="dxa"/>
            <w:shd w:val="clear" w:color="000000" w:fill="auto"/>
            <w:vAlign w:val="top"/>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5" w:hRule="atLeast"/>
        </w:trPr>
        <w:tc>
          <w:tcPr>
            <w:tcW w:w="952" w:type="dxa"/>
            <w:vMerge w:val="continue"/>
            <w:vAlign w:val="center"/>
          </w:tcPr>
          <w:p/>
        </w:tc>
        <w:tc>
          <w:tcPr>
            <w:tcW w:w="2831" w:type="dxa"/>
            <w:shd w:val="clear" w:color="000000" w:fill="auto"/>
            <w:vAlign w:val="top"/>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2.岗位主体责任</w:t>
            </w:r>
          </w:p>
        </w:tc>
        <w:tc>
          <w:tcPr>
            <w:tcW w:w="9285" w:type="dxa"/>
            <w:shd w:val="clear" w:color="000000" w:fill="auto"/>
            <w:vAlign w:val="top"/>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color w:val="000000"/>
                <w:position w:val="0"/>
                <w:sz w:val="28"/>
                <w:szCs w:val="28"/>
              </w:rPr>
              <w:t>1、加强自身学习提高，做好表率；2、抓好教育教学、科研工作，提升办学的内涵水平；3、做好学校的其他行政管理工作，依法治校、依章程办学。</w:t>
            </w:r>
          </w:p>
        </w:tc>
        <w:tc>
          <w:tcPr>
            <w:tcW w:w="1005" w:type="dxa"/>
            <w:shd w:val="clear" w:color="000000" w:fill="auto"/>
            <w:vAlign w:val="top"/>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2" w:type="dxa"/>
            <w:vMerge w:val="continue"/>
            <w:vAlign w:val="center"/>
          </w:tcPr>
          <w:p/>
        </w:tc>
        <w:tc>
          <w:tcPr>
            <w:tcW w:w="2831" w:type="dxa"/>
            <w:shd w:val="clear" w:color="000000" w:fill="auto"/>
            <w:vAlign w:val="top"/>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3.思想政治工作责任</w:t>
            </w:r>
          </w:p>
        </w:tc>
        <w:tc>
          <w:tcPr>
            <w:tcW w:w="9285" w:type="dxa"/>
            <w:shd w:val="clear" w:color="000000" w:fill="auto"/>
            <w:vAlign w:val="top"/>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color w:val="000000"/>
                <w:position w:val="0"/>
                <w:sz w:val="28"/>
                <w:szCs w:val="28"/>
              </w:rPr>
              <w:t>1、以习近平新时代中国特色社会主义思想为统领，深入贯彻习近平总书记在全国高校思想政治工作会上的讲话精神，加强学校思想政治工作；2、加强师德师风教育，明确三尺讲台的纪律要求；3、加强学生思想政治工作，培养合格社会主义事业接班人和建设者。</w:t>
            </w:r>
          </w:p>
        </w:tc>
        <w:tc>
          <w:tcPr>
            <w:tcW w:w="1005" w:type="dxa"/>
            <w:shd w:val="clear" w:color="000000" w:fill="auto"/>
            <w:vAlign w:val="top"/>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0" w:hRule="atLeast"/>
        </w:trPr>
        <w:tc>
          <w:tcPr>
            <w:tcW w:w="952" w:type="dxa"/>
            <w:vMerge w:val="continue"/>
            <w:vAlign w:val="center"/>
          </w:tcPr>
          <w:p/>
        </w:tc>
        <w:tc>
          <w:tcPr>
            <w:tcW w:w="2831" w:type="dxa"/>
            <w:shd w:val="clear" w:color="000000" w:fill="auto"/>
            <w:vAlign w:val="top"/>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r>
              <w:rPr>
                <w:rFonts w:hint="default" w:ascii="仿宋" w:hAnsi="仿宋" w:eastAsia="仿宋"/>
                <w:b w:val="0"/>
                <w:color w:val="000000"/>
                <w:position w:val="0"/>
                <w:sz w:val="30"/>
                <w:szCs w:val="30"/>
              </w:rPr>
              <w:t>4.安全稳定责任</w:t>
            </w:r>
          </w:p>
        </w:tc>
        <w:tc>
          <w:tcPr>
            <w:tcW w:w="9285" w:type="dxa"/>
            <w:shd w:val="clear" w:color="000000" w:fill="auto"/>
            <w:vAlign w:val="top"/>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color w:val="000000"/>
                <w:position w:val="0"/>
                <w:sz w:val="28"/>
                <w:szCs w:val="28"/>
              </w:rPr>
              <w:t>1、抓好安全教育，营造安全文化氛围；2、落实安全责任，形成安防网络；3、增加安防投入，保证物防、技防、人防到位；4、开展安全稳定排查，及时化解安全稳定隐患。</w:t>
            </w:r>
          </w:p>
        </w:tc>
        <w:tc>
          <w:tcPr>
            <w:tcW w:w="1005" w:type="dxa"/>
            <w:shd w:val="clear" w:color="000000" w:fill="auto"/>
            <w:vAlign w:val="top"/>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952" w:type="dxa"/>
            <w:vAlign w:val="center"/>
          </w:tcPr>
          <w:p>
            <w:pPr>
              <w:numPr>
                <w:ilvl w:val="0"/>
                <w:numId w:val="0"/>
              </w:numPr>
              <w:autoSpaceDE/>
              <w:autoSpaceDN/>
              <w:spacing w:before="0" w:after="0" w:line="240" w:lineRule="auto"/>
              <w:ind w:right="0" w:firstLine="0"/>
              <w:jc w:val="center"/>
              <w:rPr>
                <w:rFonts w:hint="default" w:ascii="仿宋" w:hAnsi="仿宋" w:eastAsia="仿宋"/>
                <w:b/>
                <w:color w:val="000000"/>
                <w:position w:val="0"/>
                <w:sz w:val="32"/>
                <w:szCs w:val="32"/>
              </w:rPr>
            </w:pPr>
            <w:r>
              <w:rPr>
                <w:rFonts w:hint="default" w:ascii="仿宋" w:hAnsi="仿宋" w:eastAsia="仿宋"/>
                <w:b/>
                <w:color w:val="000000"/>
                <w:position w:val="0"/>
                <w:sz w:val="32"/>
                <w:szCs w:val="32"/>
              </w:rPr>
              <w:t>其他</w:t>
            </w:r>
          </w:p>
        </w:tc>
        <w:tc>
          <w:tcPr>
            <w:tcW w:w="2831" w:type="dxa"/>
            <w:shd w:val="clear" w:color="000000" w:fill="auto"/>
            <w:vAlign w:val="top"/>
          </w:tcPr>
          <w:p>
            <w:pPr>
              <w:numPr>
                <w:ilvl w:val="0"/>
                <w:numId w:val="0"/>
              </w:numPr>
              <w:autoSpaceDE/>
              <w:autoSpaceDN/>
              <w:spacing w:before="0" w:after="0" w:line="240" w:lineRule="auto"/>
              <w:ind w:right="0" w:firstLine="0"/>
              <w:jc w:val="both"/>
              <w:rPr>
                <w:rFonts w:hint="default" w:ascii="仿宋" w:hAnsi="仿宋" w:eastAsia="仿宋"/>
                <w:b w:val="0"/>
                <w:color w:val="000000"/>
                <w:position w:val="0"/>
                <w:sz w:val="30"/>
                <w:szCs w:val="30"/>
              </w:rPr>
            </w:pPr>
          </w:p>
        </w:tc>
        <w:tc>
          <w:tcPr>
            <w:tcW w:w="9285" w:type="dxa"/>
            <w:shd w:val="clear" w:color="000000" w:fill="auto"/>
            <w:vAlign w:val="top"/>
          </w:tcPr>
          <w:p>
            <w:pPr>
              <w:numPr>
                <w:ilvl w:val="0"/>
                <w:numId w:val="0"/>
              </w:numPr>
              <w:autoSpaceDE/>
              <w:autoSpaceDN/>
              <w:spacing w:before="0" w:after="0" w:line="400" w:lineRule="exact"/>
              <w:ind w:right="0" w:firstLine="0"/>
              <w:jc w:val="both"/>
              <w:rPr>
                <w:rFonts w:hint="default" w:ascii="仿宋" w:hAnsi="仿宋" w:eastAsia="仿宋"/>
                <w:color w:val="000000"/>
                <w:position w:val="0"/>
                <w:sz w:val="28"/>
                <w:szCs w:val="28"/>
              </w:rPr>
            </w:pPr>
            <w:r>
              <w:rPr>
                <w:rFonts w:hint="default" w:ascii="仿宋" w:hAnsi="仿宋" w:eastAsia="仿宋"/>
                <w:color w:val="000000"/>
                <w:position w:val="0"/>
                <w:sz w:val="28"/>
                <w:szCs w:val="28"/>
              </w:rPr>
              <w:t>认真完成上级交办的其他工作，加大民生工程建设力度。</w:t>
            </w:r>
          </w:p>
        </w:tc>
        <w:tc>
          <w:tcPr>
            <w:tcW w:w="1005" w:type="dxa"/>
            <w:shd w:val="clear" w:color="000000" w:fill="auto"/>
            <w:vAlign w:val="top"/>
          </w:tcPr>
          <w:p>
            <w:pPr>
              <w:numPr>
                <w:ilvl w:val="0"/>
                <w:numId w:val="0"/>
              </w:numPr>
              <w:autoSpaceDE/>
              <w:autoSpaceDN/>
              <w:spacing w:before="0" w:after="0" w:line="240" w:lineRule="auto"/>
              <w:ind w:right="0" w:firstLine="0"/>
              <w:jc w:val="center"/>
              <w:rPr>
                <w:rFonts w:hint="default" w:ascii="仿宋" w:hAnsi="仿宋" w:eastAsia="仿宋"/>
                <w:color w:val="000000"/>
                <w:position w:val="0"/>
                <w:sz w:val="30"/>
                <w:szCs w:val="30"/>
              </w:rPr>
            </w:pPr>
            <w:r>
              <w:rPr>
                <w:rFonts w:hint="default" w:ascii="仿宋" w:hAnsi="仿宋" w:eastAsia="仿宋"/>
                <w:color w:val="000000"/>
                <w:position w:val="0"/>
                <w:sz w:val="30"/>
                <w:szCs w:val="30"/>
              </w:rPr>
              <w:t>全年</w:t>
            </w:r>
          </w:p>
        </w:tc>
      </w:tr>
    </w:tbl>
    <w:p>
      <w:pPr>
        <w:numPr>
          <w:ilvl w:val="0"/>
          <w:numId w:val="0"/>
        </w:numPr>
        <w:autoSpaceDE/>
        <w:autoSpaceDN/>
        <w:spacing w:before="0" w:after="0" w:line="240" w:lineRule="auto"/>
        <w:ind w:right="0" w:firstLine="0"/>
        <w:jc w:val="both"/>
        <w:rPr>
          <w:rFonts w:hint="default" w:ascii="Calibri" w:hAnsi="Times New Roman" w:eastAsia="Times New Roman"/>
          <w:color w:val="auto"/>
          <w:position w:val="0"/>
          <w:sz w:val="21"/>
          <w:szCs w:val="21"/>
        </w:rPr>
      </w:pPr>
    </w:p>
    <w:sectPr>
      <w:pgSz w:w="16838" w:h="11906" w:orient="landscape"/>
      <w:pgMar w:top="1474" w:right="1440" w:bottom="1474" w:left="1440" w:header="851" w:footer="992" w:gutter="0"/>
      <w:pgNumType w:fmt="decimal"/>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Wingdings">
    <w:panose1 w:val="05000000000000000000"/>
    <w:charset w:val="00"/>
    <w:family w:val="auto"/>
    <w:pitch w:val="default"/>
    <w:sig w:usb0="00000000" w:usb1="00000000" w:usb2="00000000" w:usb3="00000000" w:csb0="80000000" w:csb1="00000000"/>
  </w:font>
  <w:font w:name="仿宋_GB2312">
    <w:altName w:val="仿宋"/>
    <w:panose1 w:val="020F0502020204030204"/>
    <w:charset w:val="00"/>
    <w:family w:val="auto"/>
    <w:pitch w:val="default"/>
    <w:sig w:usb0="00000000" w:usb1="00000000" w:usb2="00000000" w:usb3="00000000" w:csb0="FFFFFFF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doNotExpandShiftReturn/>
    <w:adjustLineHeightInTable/>
    <w:useFELayout/>
    <w:compatSetting w:name="compatibilityMode" w:uri="http://schemas.microsoft.com/office/word" w:val="12"/>
  </w:compat>
  <w:rsids>
    <w:rsidRoot w:val="00000000"/>
    <w:rsid w:val="45875A30"/>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3"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7"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jc w:val="both"/>
    </w:pPr>
    <w:rPr>
      <w:rFonts w:ascii="Calibri" w:hAnsi="Calibri" w:eastAsia="Times New Roman"/>
      <w:w w:val="100"/>
      <w:sz w:val="20"/>
      <w:szCs w:val="20"/>
      <w:shd w:val="clear"/>
    </w:rPr>
  </w:style>
  <w:style w:type="paragraph" w:styleId="2">
    <w:name w:val="heading 1"/>
    <w:next w:val="1"/>
    <w:qFormat/>
    <w:uiPriority w:val="7"/>
    <w:pPr>
      <w:widowControl/>
      <w:wordWrap/>
      <w:autoSpaceDE/>
      <w:autoSpaceDN/>
      <w:jc w:val="both"/>
    </w:pPr>
    <w:rPr>
      <w:rFonts w:ascii="Calibri" w:hAnsi="Calibri" w:eastAsia="宋体"/>
      <w:w w:val="100"/>
      <w:sz w:val="28"/>
      <w:szCs w:val="28"/>
      <w:shd w:val="clear"/>
    </w:rPr>
  </w:style>
  <w:style w:type="paragraph" w:styleId="3">
    <w:name w:val="heading 2"/>
    <w:next w:val="1"/>
    <w:qFormat/>
    <w:uiPriority w:val="8"/>
    <w:pPr>
      <w:widowControl/>
      <w:wordWrap/>
      <w:autoSpaceDE/>
      <w:autoSpaceDN/>
      <w:jc w:val="both"/>
    </w:pPr>
    <w:rPr>
      <w:rFonts w:ascii="Calibri" w:hAnsi="Calibri" w:eastAsia="宋体"/>
      <w:w w:val="100"/>
      <w:sz w:val="21"/>
      <w:szCs w:val="21"/>
      <w:shd w:val="clear"/>
    </w:rPr>
  </w:style>
  <w:style w:type="paragraph" w:styleId="4">
    <w:name w:val="heading 3"/>
    <w:next w:val="1"/>
    <w:qFormat/>
    <w:uiPriority w:val="9"/>
    <w:pPr>
      <w:widowControl/>
      <w:wordWrap/>
      <w:autoSpaceDE/>
      <w:autoSpaceDN/>
      <w:ind w:left="1000" w:hanging="400"/>
      <w:jc w:val="both"/>
    </w:pPr>
    <w:rPr>
      <w:rFonts w:ascii="Calibri" w:hAnsi="Calibri" w:eastAsia="宋体"/>
      <w:w w:val="100"/>
      <w:sz w:val="21"/>
      <w:szCs w:val="21"/>
      <w:shd w:val="clear"/>
    </w:rPr>
  </w:style>
  <w:style w:type="paragraph" w:styleId="5">
    <w:name w:val="heading 4"/>
    <w:next w:val="1"/>
    <w:qFormat/>
    <w:uiPriority w:val="10"/>
    <w:pPr>
      <w:widowControl/>
      <w:wordWrap/>
      <w:autoSpaceDE/>
      <w:autoSpaceDN/>
      <w:ind w:left="1200" w:hanging="400"/>
      <w:jc w:val="both"/>
    </w:pPr>
    <w:rPr>
      <w:rFonts w:ascii="Calibri" w:hAnsi="Calibri" w:eastAsia="宋体"/>
      <w:b/>
      <w:w w:val="100"/>
      <w:sz w:val="21"/>
      <w:szCs w:val="21"/>
      <w:shd w:val="clear"/>
    </w:rPr>
  </w:style>
  <w:style w:type="paragraph" w:styleId="6">
    <w:name w:val="heading 5"/>
    <w:next w:val="1"/>
    <w:qFormat/>
    <w:uiPriority w:val="11"/>
    <w:pPr>
      <w:widowControl/>
      <w:wordWrap/>
      <w:autoSpaceDE/>
      <w:autoSpaceDN/>
      <w:ind w:left="1400" w:hanging="400"/>
      <w:jc w:val="both"/>
    </w:pPr>
    <w:rPr>
      <w:rFonts w:ascii="Calibri" w:hAnsi="Calibri" w:eastAsia="宋体"/>
      <w:w w:val="100"/>
      <w:sz w:val="21"/>
      <w:szCs w:val="21"/>
      <w:shd w:val="clear"/>
    </w:rPr>
  </w:style>
  <w:style w:type="paragraph" w:styleId="7">
    <w:name w:val="heading 6"/>
    <w:next w:val="1"/>
    <w:qFormat/>
    <w:uiPriority w:val="12"/>
    <w:pPr>
      <w:widowControl/>
      <w:wordWrap/>
      <w:autoSpaceDE/>
      <w:autoSpaceDN/>
      <w:ind w:left="1600" w:hanging="400"/>
      <w:jc w:val="both"/>
    </w:pPr>
    <w:rPr>
      <w:rFonts w:ascii="Calibri" w:hAnsi="Calibri" w:eastAsia="宋体"/>
      <w:b/>
      <w:w w:val="100"/>
      <w:sz w:val="21"/>
      <w:szCs w:val="21"/>
      <w:shd w:val="clear"/>
    </w:rPr>
  </w:style>
  <w:style w:type="paragraph" w:styleId="8">
    <w:name w:val="heading 7"/>
    <w:next w:val="1"/>
    <w:qFormat/>
    <w:uiPriority w:val="13"/>
    <w:pPr>
      <w:widowControl/>
      <w:wordWrap/>
      <w:autoSpaceDE/>
      <w:autoSpaceDN/>
      <w:ind w:left="1800" w:hanging="400"/>
      <w:jc w:val="both"/>
    </w:pPr>
    <w:rPr>
      <w:rFonts w:ascii="Calibri" w:hAnsi="Calibri" w:eastAsia="宋体"/>
      <w:w w:val="100"/>
      <w:sz w:val="21"/>
      <w:szCs w:val="21"/>
      <w:shd w:val="clear"/>
    </w:rPr>
  </w:style>
  <w:style w:type="paragraph" w:styleId="9">
    <w:name w:val="heading 8"/>
    <w:next w:val="1"/>
    <w:qFormat/>
    <w:uiPriority w:val="14"/>
    <w:pPr>
      <w:widowControl/>
      <w:wordWrap/>
      <w:autoSpaceDE/>
      <w:autoSpaceDN/>
      <w:ind w:left="2000" w:hanging="400"/>
      <w:jc w:val="both"/>
    </w:pPr>
    <w:rPr>
      <w:rFonts w:ascii="Calibri" w:hAnsi="Calibri" w:eastAsia="宋体"/>
      <w:w w:val="100"/>
      <w:sz w:val="21"/>
      <w:szCs w:val="21"/>
      <w:shd w:val="clear"/>
    </w:rPr>
  </w:style>
  <w:style w:type="paragraph" w:styleId="10">
    <w:name w:val="heading 9"/>
    <w:next w:val="1"/>
    <w:qFormat/>
    <w:uiPriority w:val="15"/>
    <w:pPr>
      <w:widowControl/>
      <w:wordWrap/>
      <w:autoSpaceDE/>
      <w:autoSpaceDN/>
      <w:ind w:left="2200" w:hanging="400"/>
      <w:jc w:val="both"/>
    </w:pPr>
    <w:rPr>
      <w:rFonts w:ascii="Calibri" w:hAnsi="Calibri" w:eastAsia="宋体"/>
      <w:w w:val="100"/>
      <w:sz w:val="21"/>
      <w:szCs w:val="21"/>
      <w:shd w:val="clear"/>
    </w:rPr>
  </w:style>
  <w:style w:type="character" w:default="1" w:styleId="22">
    <w:name w:val="Default Paragraph Font"/>
    <w:unhideWhenUsed/>
    <w:uiPriority w:val="2"/>
  </w:style>
  <w:style w:type="table" w:default="1" w:styleId="25">
    <w:name w:val="Normal Table"/>
    <w:unhideWhenUsed/>
    <w:qFormat/>
    <w:uiPriority w:val="3"/>
    <w:tblPr>
      <w:tblLayout w:type="fixed"/>
      <w:tblCellMar>
        <w:top w:w="0" w:type="dxa"/>
        <w:left w:w="108" w:type="dxa"/>
        <w:bottom w:w="0" w:type="dxa"/>
        <w:right w:w="108" w:type="dxa"/>
      </w:tblCellMar>
    </w:tblPr>
  </w:style>
  <w:style w:type="paragraph" w:styleId="11">
    <w:name w:val="toc 7"/>
    <w:next w:val="1"/>
    <w:unhideWhenUsed/>
    <w:qFormat/>
    <w:uiPriority w:val="34"/>
    <w:pPr>
      <w:widowControl/>
      <w:wordWrap/>
      <w:autoSpaceDE/>
      <w:autoSpaceDN/>
      <w:ind w:left="2550" w:firstLine="0"/>
      <w:jc w:val="both"/>
    </w:pPr>
    <w:rPr>
      <w:rFonts w:ascii="Calibri" w:hAnsi="Calibri" w:eastAsia="宋体"/>
      <w:w w:val="100"/>
      <w:sz w:val="21"/>
      <w:szCs w:val="21"/>
      <w:shd w:val="clear"/>
    </w:rPr>
  </w:style>
  <w:style w:type="paragraph" w:styleId="12">
    <w:name w:val="toc 5"/>
    <w:next w:val="1"/>
    <w:unhideWhenUsed/>
    <w:qFormat/>
    <w:uiPriority w:val="32"/>
    <w:pPr>
      <w:widowControl/>
      <w:wordWrap/>
      <w:autoSpaceDE/>
      <w:autoSpaceDN/>
      <w:ind w:left="1700" w:firstLine="0"/>
      <w:jc w:val="both"/>
    </w:pPr>
    <w:rPr>
      <w:rFonts w:ascii="Calibri" w:hAnsi="Calibri" w:eastAsia="宋体"/>
      <w:w w:val="100"/>
      <w:sz w:val="21"/>
      <w:szCs w:val="21"/>
      <w:shd w:val="clear"/>
    </w:rPr>
  </w:style>
  <w:style w:type="paragraph" w:styleId="13">
    <w:name w:val="toc 3"/>
    <w:next w:val="1"/>
    <w:unhideWhenUsed/>
    <w:qFormat/>
    <w:uiPriority w:val="30"/>
    <w:pPr>
      <w:widowControl/>
      <w:wordWrap/>
      <w:autoSpaceDE/>
      <w:autoSpaceDN/>
      <w:ind w:left="850" w:firstLine="0"/>
      <w:jc w:val="both"/>
    </w:pPr>
    <w:rPr>
      <w:rFonts w:ascii="Calibri" w:hAnsi="Calibri" w:eastAsia="宋体"/>
      <w:w w:val="100"/>
      <w:sz w:val="21"/>
      <w:szCs w:val="21"/>
      <w:shd w:val="clear"/>
    </w:rPr>
  </w:style>
  <w:style w:type="paragraph" w:styleId="14">
    <w:name w:val="toc 8"/>
    <w:next w:val="1"/>
    <w:unhideWhenUsed/>
    <w:qFormat/>
    <w:uiPriority w:val="35"/>
    <w:pPr>
      <w:widowControl/>
      <w:wordWrap/>
      <w:autoSpaceDE/>
      <w:autoSpaceDN/>
      <w:ind w:left="2975" w:firstLine="0"/>
      <w:jc w:val="both"/>
    </w:pPr>
    <w:rPr>
      <w:rFonts w:ascii="Calibri" w:hAnsi="Calibri" w:eastAsia="宋体"/>
      <w:w w:val="100"/>
      <w:sz w:val="21"/>
      <w:szCs w:val="21"/>
      <w:shd w:val="clear"/>
    </w:rPr>
  </w:style>
  <w:style w:type="paragraph" w:styleId="15">
    <w:name w:val="toc 1"/>
    <w:next w:val="1"/>
    <w:unhideWhenUsed/>
    <w:qFormat/>
    <w:uiPriority w:val="28"/>
    <w:pPr>
      <w:widowControl/>
      <w:wordWrap/>
      <w:autoSpaceDE/>
      <w:autoSpaceDN/>
      <w:jc w:val="both"/>
    </w:pPr>
    <w:rPr>
      <w:rFonts w:ascii="Calibri" w:hAnsi="Calibri" w:eastAsia="宋体"/>
      <w:w w:val="100"/>
      <w:sz w:val="21"/>
      <w:szCs w:val="21"/>
      <w:shd w:val="clear"/>
    </w:rPr>
  </w:style>
  <w:style w:type="paragraph" w:styleId="16">
    <w:name w:val="toc 4"/>
    <w:next w:val="1"/>
    <w:unhideWhenUsed/>
    <w:qFormat/>
    <w:uiPriority w:val="31"/>
    <w:pPr>
      <w:widowControl/>
      <w:wordWrap/>
      <w:autoSpaceDE/>
      <w:autoSpaceDN/>
      <w:ind w:left="1275" w:firstLine="0"/>
      <w:jc w:val="both"/>
    </w:pPr>
    <w:rPr>
      <w:rFonts w:ascii="Calibri" w:hAnsi="Calibri" w:eastAsia="宋体"/>
      <w:w w:val="100"/>
      <w:sz w:val="21"/>
      <w:szCs w:val="21"/>
      <w:shd w:val="clear"/>
    </w:rPr>
  </w:style>
  <w:style w:type="paragraph" w:styleId="17">
    <w:name w:val="Subtitle"/>
    <w:qFormat/>
    <w:uiPriority w:val="16"/>
    <w:pPr>
      <w:widowControl/>
      <w:wordWrap/>
      <w:autoSpaceDE/>
      <w:autoSpaceDN/>
      <w:jc w:val="center"/>
    </w:pPr>
    <w:rPr>
      <w:rFonts w:ascii="Calibri" w:hAnsi="Calibri" w:eastAsia="宋体"/>
      <w:w w:val="100"/>
      <w:sz w:val="24"/>
      <w:szCs w:val="24"/>
      <w:shd w:val="clear"/>
    </w:rPr>
  </w:style>
  <w:style w:type="paragraph" w:styleId="18">
    <w:name w:val="toc 6"/>
    <w:next w:val="1"/>
    <w:unhideWhenUsed/>
    <w:qFormat/>
    <w:uiPriority w:val="33"/>
    <w:pPr>
      <w:widowControl/>
      <w:wordWrap/>
      <w:autoSpaceDE/>
      <w:autoSpaceDN/>
      <w:ind w:left="2125" w:firstLine="0"/>
      <w:jc w:val="both"/>
    </w:pPr>
    <w:rPr>
      <w:rFonts w:ascii="Calibri" w:hAnsi="Calibri" w:eastAsia="宋体"/>
      <w:w w:val="100"/>
      <w:sz w:val="21"/>
      <w:szCs w:val="21"/>
      <w:shd w:val="clear"/>
    </w:rPr>
  </w:style>
  <w:style w:type="paragraph" w:styleId="19">
    <w:name w:val="toc 2"/>
    <w:next w:val="1"/>
    <w:unhideWhenUsed/>
    <w:qFormat/>
    <w:uiPriority w:val="29"/>
    <w:pPr>
      <w:widowControl/>
      <w:wordWrap/>
      <w:autoSpaceDE/>
      <w:autoSpaceDN/>
      <w:ind w:left="425" w:firstLine="0"/>
      <w:jc w:val="both"/>
    </w:pPr>
    <w:rPr>
      <w:rFonts w:ascii="Calibri" w:hAnsi="Calibri" w:eastAsia="宋体"/>
      <w:w w:val="100"/>
      <w:sz w:val="21"/>
      <w:szCs w:val="21"/>
      <w:shd w:val="clear"/>
    </w:rPr>
  </w:style>
  <w:style w:type="paragraph" w:styleId="20">
    <w:name w:val="toc 9"/>
    <w:next w:val="1"/>
    <w:unhideWhenUsed/>
    <w:qFormat/>
    <w:uiPriority w:val="36"/>
    <w:pPr>
      <w:widowControl/>
      <w:wordWrap/>
      <w:autoSpaceDE/>
      <w:autoSpaceDN/>
      <w:ind w:left="3400" w:firstLine="0"/>
      <w:jc w:val="both"/>
    </w:pPr>
    <w:rPr>
      <w:rFonts w:ascii="Calibri" w:hAnsi="Calibri" w:eastAsia="宋体"/>
      <w:w w:val="100"/>
      <w:sz w:val="21"/>
      <w:szCs w:val="21"/>
      <w:shd w:val="clear"/>
    </w:rPr>
  </w:style>
  <w:style w:type="paragraph" w:styleId="21">
    <w:name w:val="Title"/>
    <w:qFormat/>
    <w:uiPriority w:val="6"/>
    <w:pPr>
      <w:widowControl/>
      <w:wordWrap/>
      <w:autoSpaceDE/>
      <w:autoSpaceDN/>
      <w:jc w:val="center"/>
    </w:pPr>
    <w:rPr>
      <w:rFonts w:ascii="Calibri" w:hAnsi="Calibri" w:eastAsia="宋体"/>
      <w:b/>
      <w:w w:val="100"/>
      <w:sz w:val="32"/>
      <w:szCs w:val="32"/>
      <w:shd w:val="clear"/>
    </w:rPr>
  </w:style>
  <w:style w:type="character" w:styleId="23">
    <w:name w:val="Strong"/>
    <w:qFormat/>
    <w:uiPriority w:val="20"/>
    <w:rPr>
      <w:b/>
      <w:w w:val="100"/>
      <w:sz w:val="21"/>
      <w:szCs w:val="21"/>
      <w:shd w:val="clear"/>
    </w:rPr>
  </w:style>
  <w:style w:type="character" w:styleId="24">
    <w:name w:val="Emphasis"/>
    <w:qFormat/>
    <w:uiPriority w:val="18"/>
    <w:rPr>
      <w:i/>
      <w:w w:val="100"/>
      <w:sz w:val="21"/>
      <w:szCs w:val="21"/>
      <w:shd w:val="clear"/>
    </w:rPr>
  </w:style>
  <w:style w:type="table" w:styleId="26">
    <w:name w:val="Table Grid"/>
    <w:basedOn w:val="25"/>
    <w:qFormat/>
    <w:uiPriority w:val="37"/>
    <w:rPr>
      <w:rFonts w:ascii="Calibri" w:hAnsi="Calibri" w:eastAsia="Times New Roman"/>
      <w:w w:val="100"/>
      <w:sz w:val="20"/>
      <w:szCs w:val="20"/>
      <w:shd w:val="clea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27">
    <w:name w:val="No Spacing"/>
    <w:qFormat/>
    <w:uiPriority w:val="5"/>
    <w:pPr>
      <w:widowControl/>
      <w:wordWrap/>
      <w:autoSpaceDE/>
      <w:autoSpaceDN/>
      <w:jc w:val="both"/>
    </w:pPr>
    <w:rPr>
      <w:rFonts w:ascii="Calibri" w:hAnsi="Calibri" w:eastAsia="宋体"/>
      <w:w w:val="100"/>
      <w:sz w:val="21"/>
      <w:szCs w:val="21"/>
      <w:shd w:val="clear"/>
    </w:rPr>
  </w:style>
  <w:style w:type="character" w:customStyle="1" w:styleId="28">
    <w:name w:val="Subtle Emphasis"/>
    <w:qFormat/>
    <w:uiPriority w:val="17"/>
    <w:rPr>
      <w:i/>
      <w:color w:val="404040"/>
      <w:w w:val="100"/>
      <w:sz w:val="21"/>
      <w:szCs w:val="21"/>
      <w:shd w:val="clear"/>
    </w:rPr>
  </w:style>
  <w:style w:type="character" w:customStyle="1" w:styleId="29">
    <w:name w:val="Intense Emphasis"/>
    <w:qFormat/>
    <w:uiPriority w:val="19"/>
    <w:rPr>
      <w:i/>
      <w:color w:val="5B9BD5"/>
      <w:w w:val="100"/>
      <w:sz w:val="21"/>
      <w:szCs w:val="21"/>
      <w:shd w:val="clear"/>
    </w:rPr>
  </w:style>
  <w:style w:type="paragraph" w:styleId="30">
    <w:name w:val="Quote"/>
    <w:qFormat/>
    <w:uiPriority w:val="21"/>
    <w:pPr>
      <w:widowControl/>
      <w:wordWrap/>
      <w:autoSpaceDE/>
      <w:autoSpaceDN/>
      <w:ind w:left="864" w:right="864" w:firstLine="0"/>
      <w:jc w:val="center"/>
    </w:pPr>
    <w:rPr>
      <w:rFonts w:ascii="Calibri" w:hAnsi="Calibri" w:eastAsia="宋体"/>
      <w:i/>
      <w:color w:val="404040"/>
      <w:w w:val="100"/>
      <w:sz w:val="21"/>
      <w:szCs w:val="21"/>
      <w:shd w:val="clear"/>
    </w:rPr>
  </w:style>
  <w:style w:type="paragraph" w:styleId="31">
    <w:name w:val="Intense Quote"/>
    <w:qFormat/>
    <w:uiPriority w:val="22"/>
    <w:pPr>
      <w:widowControl/>
      <w:wordWrap/>
      <w:autoSpaceDE/>
      <w:autoSpaceDN/>
      <w:ind w:left="950" w:right="950" w:firstLine="0"/>
      <w:jc w:val="center"/>
    </w:pPr>
    <w:rPr>
      <w:rFonts w:ascii="Calibri" w:hAnsi="Calibri" w:eastAsia="宋体"/>
      <w:i/>
      <w:color w:val="5B9BD5"/>
      <w:w w:val="100"/>
      <w:sz w:val="21"/>
      <w:szCs w:val="21"/>
      <w:shd w:val="clear"/>
    </w:rPr>
  </w:style>
  <w:style w:type="character" w:customStyle="1" w:styleId="32">
    <w:name w:val="Subtle Reference"/>
    <w:qFormat/>
    <w:uiPriority w:val="23"/>
    <w:rPr>
      <w:smallCaps/>
      <w:color w:val="5A5A5A"/>
      <w:w w:val="100"/>
      <w:sz w:val="21"/>
      <w:szCs w:val="21"/>
      <w:shd w:val="clear"/>
    </w:rPr>
  </w:style>
  <w:style w:type="character" w:customStyle="1" w:styleId="33">
    <w:name w:val="Intense Reference"/>
    <w:qFormat/>
    <w:uiPriority w:val="24"/>
    <w:rPr>
      <w:b/>
      <w:smallCaps/>
      <w:color w:val="5B9BD5"/>
      <w:w w:val="100"/>
      <w:sz w:val="21"/>
      <w:szCs w:val="21"/>
      <w:shd w:val="clear"/>
    </w:rPr>
  </w:style>
  <w:style w:type="character" w:customStyle="1" w:styleId="34">
    <w:name w:val="Book Title"/>
    <w:qFormat/>
    <w:uiPriority w:val="25"/>
    <w:rPr>
      <w:b/>
      <w:i/>
      <w:w w:val="100"/>
      <w:sz w:val="21"/>
      <w:szCs w:val="21"/>
      <w:shd w:val="clear"/>
    </w:rPr>
  </w:style>
  <w:style w:type="paragraph" w:styleId="35">
    <w:name w:val="List Paragraph"/>
    <w:qFormat/>
    <w:uiPriority w:val="26"/>
    <w:pPr>
      <w:widowControl/>
      <w:wordWrap/>
      <w:autoSpaceDE/>
      <w:autoSpaceDN/>
      <w:ind w:left="850" w:firstLine="0"/>
      <w:jc w:val="both"/>
    </w:pPr>
    <w:rPr>
      <w:rFonts w:ascii="Calibri" w:hAnsi="Calibri" w:eastAsia="宋体"/>
      <w:w w:val="100"/>
      <w:sz w:val="21"/>
      <w:szCs w:val="21"/>
      <w:shd w:val="clear"/>
    </w:rPr>
  </w:style>
  <w:style w:type="paragraph" w:customStyle="1" w:styleId="36">
    <w:name w:val="TOC Heading"/>
    <w:unhideWhenUsed/>
    <w:qFormat/>
    <w:uiPriority w:val="27"/>
    <w:pPr>
      <w:widowControl/>
      <w:wordWrap/>
      <w:autoSpaceDE/>
      <w:autoSpaceDN/>
    </w:pPr>
    <w:rPr>
      <w:rFonts w:ascii="Calibri" w:hAnsi="Calibri" w:eastAsia="宋体"/>
      <w:color w:val="2E74B5"/>
      <w:w w:val="100"/>
      <w:sz w:val="32"/>
      <w:szCs w:val="32"/>
      <w:shd w:val="cle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9</Pages>
  <Words>824</Words>
  <Characters>5512</Characters>
  <Lines>39</Lines>
  <Paragraphs>11</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2017-11-01T00:23:16Z</dcterms:created>
  <dc:creator>007</dc:creator>
  <cp:lastModifiedBy>大飞哥</cp:lastModifiedBy>
  <dcterms:modified xsi:type="dcterms:W3CDTF">2017-11-01T00:23:49Z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